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60CC5F7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A0854">
        <w:t>100</w:t>
      </w:r>
      <w:r w:rsidR="006D4BA9">
        <w:t>-e</w:t>
      </w:r>
      <w:r w:rsidRPr="00CE0424">
        <w:tab/>
      </w:r>
      <w:r w:rsidR="00B125FA" w:rsidRPr="00B125FA">
        <w:rPr>
          <w:sz w:val="32"/>
          <w:szCs w:val="32"/>
        </w:rPr>
        <w:t>R1-2001013</w:t>
      </w:r>
    </w:p>
    <w:p w14:paraId="2A725917" w14:textId="7B61B2A8" w:rsidR="00E90E49" w:rsidRPr="00CE0424" w:rsidRDefault="00124204" w:rsidP="00311702">
      <w:pPr>
        <w:pStyle w:val="3GPPHeader"/>
      </w:pPr>
      <w:r w:rsidRPr="003D623D">
        <w:t>e-Meeting, February 24th- March 6th,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468084B3" w:rsidR="00E90E49" w:rsidRPr="00124204" w:rsidRDefault="00E90E49" w:rsidP="00311702">
      <w:pPr>
        <w:pStyle w:val="3GPPHeader"/>
        <w:rPr>
          <w:sz w:val="22"/>
          <w:szCs w:val="22"/>
          <w:lang w:val="en-US"/>
        </w:rPr>
      </w:pPr>
      <w:r w:rsidRPr="00124204">
        <w:rPr>
          <w:sz w:val="22"/>
          <w:szCs w:val="22"/>
          <w:lang w:val="en-US"/>
        </w:rPr>
        <w:t>Agenda Item:</w:t>
      </w:r>
      <w:r w:rsidRPr="00124204">
        <w:rPr>
          <w:sz w:val="22"/>
          <w:szCs w:val="22"/>
          <w:lang w:val="en-US"/>
        </w:rPr>
        <w:tab/>
      </w:r>
      <w:r w:rsidR="002D0AF8" w:rsidRPr="00124204">
        <w:rPr>
          <w:sz w:val="22"/>
          <w:szCs w:val="22"/>
          <w:lang w:val="en-US"/>
        </w:rPr>
        <w:t>7</w:t>
      </w:r>
      <w:r w:rsidR="00311702" w:rsidRPr="00124204">
        <w:rPr>
          <w:sz w:val="22"/>
          <w:szCs w:val="22"/>
          <w:lang w:val="en-US"/>
        </w:rPr>
        <w:t>.</w:t>
      </w:r>
      <w:r w:rsidR="002D0AF8" w:rsidRPr="00124204">
        <w:rPr>
          <w:sz w:val="22"/>
          <w:szCs w:val="22"/>
          <w:lang w:val="en-US"/>
        </w:rPr>
        <w:t>2</w:t>
      </w:r>
      <w:r w:rsidR="00311702" w:rsidRPr="00124204">
        <w:rPr>
          <w:sz w:val="22"/>
          <w:szCs w:val="22"/>
          <w:lang w:val="en-US"/>
        </w:rPr>
        <w:t>.</w:t>
      </w:r>
      <w:r w:rsidR="002D0AF8" w:rsidRPr="00124204">
        <w:rPr>
          <w:sz w:val="22"/>
          <w:szCs w:val="22"/>
          <w:lang w:val="en-US"/>
        </w:rPr>
        <w:t>4</w:t>
      </w:r>
      <w:r w:rsidR="00311702" w:rsidRPr="00124204">
        <w:rPr>
          <w:sz w:val="22"/>
          <w:szCs w:val="22"/>
          <w:lang w:val="en-US"/>
        </w:rPr>
        <w:t>.</w:t>
      </w:r>
      <w:r w:rsidR="002D0AF8" w:rsidRPr="00124204">
        <w:rPr>
          <w:sz w:val="22"/>
          <w:szCs w:val="22"/>
          <w:lang w:val="en-US"/>
        </w:rPr>
        <w:t>6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0E5542F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45AE">
        <w:rPr>
          <w:sz w:val="22"/>
          <w:szCs w:val="22"/>
        </w:rPr>
        <w:t>QoS management for NR sidelink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D0AF8">
        <w:rPr>
          <w:sz w:val="22"/>
          <w:szCs w:val="22"/>
        </w:rPr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4BEDF" w14:textId="63225EF8" w:rsidR="00477768" w:rsidRPr="00CE0424" w:rsidRDefault="001F45AE" w:rsidP="00CE0424">
      <w:pPr>
        <w:pStyle w:val="BodyText"/>
      </w:pPr>
      <w:r>
        <w:t>This contribution addresse</w:t>
      </w:r>
      <w:r w:rsidR="004228FE">
        <w:t>s</w:t>
      </w:r>
      <w:r>
        <w:t xml:space="preserve"> the remaining issues related to QoS management for NR SL Rel-16.</w:t>
      </w:r>
    </w:p>
    <w:p w14:paraId="226B665A" w14:textId="31B85B32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88F4EBB" w14:textId="702B9D33" w:rsidR="001F45AE" w:rsidRPr="001F45AE" w:rsidRDefault="009B61F9" w:rsidP="00F13ACB">
      <w:pPr>
        <w:pStyle w:val="BodyText"/>
      </w:pPr>
      <w:r>
        <w:t xml:space="preserve">RAN1#99 and a follow-up </w:t>
      </w:r>
      <w:r w:rsidR="001F45AE">
        <w:t xml:space="preserve">email discussion </w:t>
      </w:r>
      <w:r>
        <w:t xml:space="preserve">made the </w:t>
      </w:r>
      <w:r w:rsidR="001F45AE">
        <w:t>following agreement</w:t>
      </w:r>
      <w:r>
        <w:t>s</w:t>
      </w:r>
      <w:r w:rsidR="001F45AE">
        <w:t xml:space="preserve"> </w:t>
      </w:r>
      <w:r>
        <w:t>on CR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5AE" w:rsidRPr="00F13ACB" w14:paraId="097BB9B5" w14:textId="77777777" w:rsidTr="001F45AE">
        <w:tc>
          <w:tcPr>
            <w:tcW w:w="9629" w:type="dxa"/>
          </w:tcPr>
          <w:p w14:paraId="41C86887" w14:textId="77777777" w:rsidR="009B61F9" w:rsidRDefault="009B61F9" w:rsidP="009B61F9">
            <w:pPr>
              <w:rPr>
                <w:rFonts w:ascii="Times" w:hAnsi="Times"/>
                <w:bCs/>
                <w:sz w:val="20"/>
                <w:highlight w:val="green"/>
                <w:lang w:val="en-US" w:eastAsia="zh-CN"/>
              </w:rPr>
            </w:pPr>
            <w:bookmarkStart w:id="2" w:name="_Hlk28873161"/>
            <w:r>
              <w:rPr>
                <w:bCs/>
                <w:highlight w:val="green"/>
                <w:lang w:val="en-US" w:eastAsia="zh-CN"/>
              </w:rPr>
              <w:t>Agreements:</w:t>
            </w:r>
          </w:p>
          <w:p w14:paraId="405EEDAB" w14:textId="77777777" w:rsidR="009B61F9" w:rsidRDefault="009B61F9" w:rsidP="009B61F9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The CBR measurement time window size is 100 ms and 100 slots by (pre-)configuration.</w:t>
            </w:r>
          </w:p>
          <w:p w14:paraId="14D07ECF" w14:textId="77777777" w:rsidR="009B61F9" w:rsidRDefault="009B61F9" w:rsidP="009B61F9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CR window size is { 1000 ms, 1000 slots } by (pre)-configuration</w:t>
            </w:r>
          </w:p>
          <w:p w14:paraId="534134C7" w14:textId="77777777" w:rsidR="009B61F9" w:rsidRDefault="009B61F9" w:rsidP="00DE2D2E">
            <w:pPr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</w:pPr>
          </w:p>
          <w:p w14:paraId="6904AE2C" w14:textId="0AFE2795" w:rsidR="00DE2D2E" w:rsidRPr="00F13ACB" w:rsidRDefault="00DE2D2E" w:rsidP="00DE2D2E">
            <w:pPr>
              <w:rPr>
                <w:rFonts w:ascii="Arial" w:hAnsi="Arial" w:cs="Arial"/>
                <w:sz w:val="20"/>
                <w:szCs w:val="20"/>
                <w:lang w:val="en-US" w:eastAsia="fi-FI"/>
              </w:rPr>
            </w:pPr>
            <w:r w:rsidRPr="00F13ACB"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  <w:t>Agreements:</w:t>
            </w:r>
            <w:r w:rsidRPr="00F13ACB">
              <w:rPr>
                <w:rFonts w:ascii="Arial" w:hAnsi="Arial" w:cs="Arial"/>
                <w:sz w:val="20"/>
                <w:szCs w:val="20"/>
                <w:lang w:val="en-US"/>
              </w:rPr>
              <w:t xml:space="preserve"> (from [99-NR-12])</w:t>
            </w:r>
          </w:p>
          <w:p w14:paraId="739AC139" w14:textId="77777777" w:rsidR="00DE2D2E" w:rsidRPr="00F13ACB" w:rsidRDefault="00DE2D2E" w:rsidP="00DE2D2E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 w:eastAsia="fi-FI"/>
              </w:rPr>
            </w:pPr>
            <w:r w:rsidRPr="00F13AC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The future segment of the CR evaluation window reuses the same behaviour as in the LTE V2X sidelink. </w:t>
            </w:r>
          </w:p>
          <w:p w14:paraId="6E854382" w14:textId="5B5CCE52" w:rsidR="001F45AE" w:rsidRPr="00F13ACB" w:rsidRDefault="00DE2D2E" w:rsidP="00F13ACB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3AC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FFS whether additional constraints on UE’s choice of values for a and b are needed</w:t>
            </w:r>
            <w:r w:rsidR="00F13AC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  <w:bookmarkEnd w:id="2"/>
          </w:p>
        </w:tc>
      </w:tr>
    </w:tbl>
    <w:p w14:paraId="52139EB7" w14:textId="7E9992EB" w:rsidR="001F45AE" w:rsidRDefault="001F45AE" w:rsidP="001F45AE"/>
    <w:p w14:paraId="64A63595" w14:textId="74CB0B9D" w:rsidR="00F13ACB" w:rsidRDefault="009B61F9" w:rsidP="00F13ACB">
      <w:pPr>
        <w:pStyle w:val="BodyText"/>
      </w:pPr>
      <w:r>
        <w:t>Regarding the FFS, r</w:t>
      </w:r>
      <w:r w:rsidR="00F13ACB" w:rsidRPr="00F13ACB">
        <w:t>ecall that for LTE V2X the following definition of CR is 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48D8" w14:paraId="3356CD6B" w14:textId="77777777" w:rsidTr="007548D8">
        <w:tc>
          <w:tcPr>
            <w:tcW w:w="9629" w:type="dxa"/>
          </w:tcPr>
          <w:p w14:paraId="241342E9" w14:textId="77777777" w:rsidR="007548D8" w:rsidRPr="00F13ACB" w:rsidRDefault="007548D8" w:rsidP="007548D8">
            <w:pPr>
              <w:pStyle w:val="BodyText"/>
              <w:rPr>
                <w:lang w:val="en-GB"/>
              </w:rPr>
            </w:pPr>
          </w:p>
          <w:tbl>
            <w:tblPr>
              <w:tblW w:w="7371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965"/>
              <w:gridCol w:w="6406"/>
            </w:tblGrid>
            <w:tr w:rsidR="007548D8" w:rsidRPr="004E6BDC" w14:paraId="058A830B" w14:textId="77777777" w:rsidTr="00C56679">
              <w:trPr>
                <w:trHeight w:val="1049"/>
                <w:jc w:val="center"/>
              </w:trPr>
              <w:tc>
                <w:tcPr>
                  <w:tcW w:w="9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11FAB199" w14:textId="77777777" w:rsidR="007548D8" w:rsidRPr="004E6BDC" w:rsidRDefault="007548D8" w:rsidP="007548D8">
                  <w:pPr>
                    <w:autoSpaceDE/>
                    <w:autoSpaceDN/>
                    <w:ind w:left="1440" w:hanging="1440"/>
                    <w:rPr>
                      <w:rFonts w:ascii="Times" w:eastAsia="Malgun Gothic" w:hAnsi="Times"/>
                    </w:rPr>
                  </w:pPr>
                  <w:r w:rsidRPr="004E6BDC">
                    <w:rPr>
                      <w:rFonts w:ascii="Times" w:eastAsia="Malgun Gothic" w:hAnsi="Times"/>
                      <w:b/>
                      <w:bCs/>
                    </w:rPr>
                    <w:t>Definition</w:t>
                  </w:r>
                </w:p>
              </w:tc>
              <w:tc>
                <w:tcPr>
                  <w:tcW w:w="64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597C02F6" w14:textId="77777777" w:rsidR="007548D8" w:rsidRPr="004E6BDC" w:rsidRDefault="007548D8" w:rsidP="007548D8">
                  <w:pPr>
                    <w:autoSpaceDE/>
                    <w:autoSpaceDN/>
                    <w:rPr>
                      <w:rFonts w:ascii="Times" w:eastAsia="Malgun Gothic" w:hAnsi="Times"/>
                    </w:rPr>
                  </w:pPr>
                  <w:r w:rsidRPr="004E6BDC">
                    <w:rPr>
                      <w:rFonts w:ascii="Times" w:eastAsia="Malgun Gothic" w:hAnsi="Times"/>
                    </w:rPr>
                    <w:t xml:space="preserve">Channel occupancy ratio (CR) evaluated at subframe </w:t>
                  </w:r>
                  <w:r w:rsidRPr="004E6BDC">
                    <w:rPr>
                      <w:rFonts w:ascii="Times" w:eastAsia="Malgun Gothic" w:hAnsi="Times"/>
                      <w:i/>
                      <w:iCs/>
                    </w:rPr>
                    <w:t>n</w:t>
                  </w:r>
                  <w:r w:rsidRPr="004E6BDC">
                    <w:rPr>
                      <w:rFonts w:ascii="Times" w:eastAsia="Malgun Gothic" w:hAnsi="Times"/>
                    </w:rPr>
                    <w:t xml:space="preserve"> is defined as the total number of sub-channels used for its transmissions in subframes [</w:t>
                  </w:r>
                  <w:r w:rsidRPr="004E6BDC">
                    <w:rPr>
                      <w:rFonts w:ascii="Times" w:eastAsia="Malgun Gothic" w:hAnsi="Times"/>
                      <w:i/>
                      <w:iCs/>
                    </w:rPr>
                    <w:t>n-a</w:t>
                  </w:r>
                  <w:r w:rsidRPr="004E6BDC">
                    <w:rPr>
                      <w:rFonts w:ascii="Times" w:eastAsia="Malgun Gothic" w:hAnsi="Times"/>
                    </w:rPr>
                    <w:t xml:space="preserve">, </w:t>
                  </w:r>
                  <w:r w:rsidRPr="004E6BDC">
                    <w:rPr>
                      <w:rFonts w:ascii="Times" w:eastAsia="Malgun Gothic" w:hAnsi="Times"/>
                      <w:i/>
                      <w:iCs/>
                    </w:rPr>
                    <w:t>n-1</w:t>
                  </w:r>
                  <w:r w:rsidRPr="004E6BDC">
                    <w:rPr>
                      <w:rFonts w:ascii="Times" w:eastAsia="Malgun Gothic" w:hAnsi="Times"/>
                    </w:rPr>
                    <w:t>] and granted in subframes [</w:t>
                  </w:r>
                  <w:r w:rsidRPr="004E6BDC">
                    <w:rPr>
                      <w:rFonts w:ascii="Times" w:eastAsia="Malgun Gothic" w:hAnsi="Times"/>
                      <w:i/>
                      <w:iCs/>
                    </w:rPr>
                    <w:t>n</w:t>
                  </w:r>
                  <w:r w:rsidRPr="004E6BDC">
                    <w:rPr>
                      <w:rFonts w:ascii="Times" w:eastAsia="Malgun Gothic" w:hAnsi="Times"/>
                    </w:rPr>
                    <w:t xml:space="preserve">, </w:t>
                  </w:r>
                  <w:r w:rsidRPr="004E6BDC">
                    <w:rPr>
                      <w:rFonts w:ascii="Times" w:eastAsia="Malgun Gothic" w:hAnsi="Times"/>
                      <w:i/>
                      <w:iCs/>
                    </w:rPr>
                    <w:t>n+b</w:t>
                  </w:r>
                  <w:r w:rsidRPr="004E6BDC">
                    <w:rPr>
                      <w:rFonts w:ascii="Times" w:eastAsia="Malgun Gothic" w:hAnsi="Times"/>
                    </w:rPr>
                    <w:t>] divided by the total number of configured sub-channels in the transmission pool over [</w:t>
                  </w:r>
                  <w:r w:rsidRPr="004E6BDC">
                    <w:rPr>
                      <w:rFonts w:ascii="Times" w:eastAsia="Malgun Gothic" w:hAnsi="Times"/>
                      <w:i/>
                      <w:iCs/>
                    </w:rPr>
                    <w:t>n-a</w:t>
                  </w:r>
                  <w:r w:rsidRPr="004E6BDC">
                    <w:rPr>
                      <w:rFonts w:ascii="Times" w:eastAsia="Malgun Gothic" w:hAnsi="Times"/>
                    </w:rPr>
                    <w:t xml:space="preserve">, </w:t>
                  </w:r>
                  <w:r w:rsidRPr="004E6BDC">
                    <w:rPr>
                      <w:rFonts w:ascii="Times" w:eastAsia="Malgun Gothic" w:hAnsi="Times"/>
                      <w:i/>
                      <w:iCs/>
                    </w:rPr>
                    <w:t>n+b</w:t>
                  </w:r>
                  <w:r w:rsidRPr="004E6BDC">
                    <w:rPr>
                      <w:rFonts w:ascii="Times" w:eastAsia="Malgun Gothic" w:hAnsi="Times"/>
                    </w:rPr>
                    <w:t xml:space="preserve">]. </w:t>
                  </w:r>
                </w:p>
              </w:tc>
            </w:tr>
          </w:tbl>
          <w:p w14:paraId="28C1F167" w14:textId="2DD1F126" w:rsidR="007548D8" w:rsidRDefault="007548D8" w:rsidP="001F45AE">
            <w:pPr>
              <w:rPr>
                <w:lang w:val="en-US"/>
              </w:rPr>
            </w:pPr>
            <w:r w:rsidRPr="004E6BDC">
              <w:rPr>
                <w:rFonts w:ascii="Times" w:eastAsia="Malgun Gothic" w:hAnsi="Times"/>
              </w:rPr>
              <w:t>NOTE 1:</w:t>
            </w:r>
            <w:r w:rsidRPr="004E6BDC">
              <w:rPr>
                <w:rFonts w:ascii="Times" w:eastAsia="Malgun Gothic" w:hAnsi="Times"/>
              </w:rPr>
              <w:tab/>
            </w:r>
            <w:r w:rsidRPr="004E6BDC">
              <w:rPr>
                <w:rFonts w:ascii="Times" w:eastAsia="Malgun Gothic" w:hAnsi="Times"/>
                <w:i/>
                <w:iCs/>
              </w:rPr>
              <w:t>a</w:t>
            </w:r>
            <w:r w:rsidRPr="004E6BDC">
              <w:rPr>
                <w:rFonts w:ascii="Times" w:eastAsia="Malgun Gothic" w:hAnsi="Times"/>
              </w:rPr>
              <w:t xml:space="preserve"> is a positive integer and </w:t>
            </w:r>
            <w:r w:rsidRPr="004E6BDC">
              <w:rPr>
                <w:rFonts w:ascii="Times" w:eastAsia="Malgun Gothic" w:hAnsi="Times"/>
                <w:i/>
                <w:iCs/>
              </w:rPr>
              <w:t>b</w:t>
            </w:r>
            <w:r w:rsidRPr="004E6BDC">
              <w:rPr>
                <w:rFonts w:ascii="Times" w:eastAsia="Malgun Gothic" w:hAnsi="Times"/>
              </w:rPr>
              <w:t xml:space="preserve"> is 0 or a positive integer; </w:t>
            </w:r>
            <w:r w:rsidRPr="004E6BDC">
              <w:rPr>
                <w:rFonts w:ascii="Times" w:eastAsia="Malgun Gothic" w:hAnsi="Times"/>
                <w:i/>
              </w:rPr>
              <w:t>a</w:t>
            </w:r>
            <w:r w:rsidRPr="004E6BDC">
              <w:rPr>
                <w:rFonts w:ascii="Times" w:eastAsia="Malgun Gothic" w:hAnsi="Times"/>
              </w:rPr>
              <w:t xml:space="preserve"> and </w:t>
            </w:r>
            <w:r w:rsidRPr="004E6BDC">
              <w:rPr>
                <w:rFonts w:ascii="Times" w:eastAsia="Malgun Gothic" w:hAnsi="Times"/>
                <w:i/>
              </w:rPr>
              <w:t>b</w:t>
            </w:r>
            <w:r w:rsidRPr="004E6BDC">
              <w:rPr>
                <w:rFonts w:ascii="Times" w:eastAsia="Malgun Gothic" w:hAnsi="Times"/>
              </w:rPr>
              <w:t xml:space="preserve"> are determined by UE implementation with </w:t>
            </w:r>
            <w:r w:rsidRPr="00365D18">
              <w:rPr>
                <w:rFonts w:ascii="Times" w:eastAsia="Malgun Gothic" w:hAnsi="Times"/>
                <w:i/>
                <w:iCs/>
              </w:rPr>
              <w:t>a+b+1 = 1000</w:t>
            </w:r>
            <w:r w:rsidRPr="00365D18">
              <w:rPr>
                <w:rFonts w:ascii="Times" w:eastAsia="Malgun Gothic" w:hAnsi="Times"/>
              </w:rPr>
              <w:t>, a &gt;= 500, and n+b</w:t>
            </w:r>
            <w:r w:rsidRPr="004E6BDC">
              <w:rPr>
                <w:rFonts w:ascii="Times" w:eastAsia="Malgun Gothic" w:hAnsi="Times"/>
              </w:rPr>
              <w:t xml:space="preserve"> should not exceed the last transmission opportunity of the grant for the current transmission.</w:t>
            </w:r>
          </w:p>
        </w:tc>
      </w:tr>
    </w:tbl>
    <w:p w14:paraId="272C3D74" w14:textId="4A637C8A" w:rsidR="00F13ACB" w:rsidRPr="00F13ACB" w:rsidRDefault="00F13ACB" w:rsidP="001F45AE">
      <w:pPr>
        <w:rPr>
          <w:lang w:val="en-US"/>
        </w:rPr>
      </w:pPr>
    </w:p>
    <w:p w14:paraId="43F91072" w14:textId="2E4EC730" w:rsidR="00B34BD9" w:rsidRPr="001738C5" w:rsidRDefault="007E4386" w:rsidP="00F13ACB">
      <w:pPr>
        <w:pStyle w:val="BodyText"/>
      </w:pPr>
      <w:r w:rsidRPr="001738C5">
        <w:t xml:space="preserve">In our view </w:t>
      </w:r>
      <w:r w:rsidR="00023BF4" w:rsidRPr="001738C5">
        <w:t>NR V2X needs to handle</w:t>
      </w:r>
      <w:r w:rsidR="0063225E" w:rsidRPr="001738C5">
        <w:t xml:space="preserve"> the aperiodic traffic </w:t>
      </w:r>
      <w:r w:rsidR="008F2981" w:rsidRPr="001738C5">
        <w:t xml:space="preserve">effectively because that type of traffic has an important role </w:t>
      </w:r>
      <w:r w:rsidR="0086758D" w:rsidRPr="001738C5">
        <w:t>for eV2X use cases.</w:t>
      </w:r>
      <w:r w:rsidRPr="001738C5">
        <w:t xml:space="preserve"> Therefore, the CR definition should</w:t>
      </w:r>
      <w:r w:rsidR="008A0E71" w:rsidRPr="001738C5">
        <w:t xml:space="preserve"> put more emphasis on the </w:t>
      </w:r>
      <w:r w:rsidR="00EC09F4" w:rsidRPr="001738C5">
        <w:t xml:space="preserve">resource consumption in the past (than in the future). </w:t>
      </w:r>
      <w:r w:rsidR="0003667C" w:rsidRPr="001738C5">
        <w:t>This can be done by increasing the value of parameter a</w:t>
      </w:r>
      <w:r w:rsidR="00B34BD9" w:rsidRPr="001738C5">
        <w:t xml:space="preserve"> in the above definition. Hence, we propose the following:</w:t>
      </w:r>
    </w:p>
    <w:p w14:paraId="1F3C5933" w14:textId="7DBD6593" w:rsidR="00B34BD9" w:rsidRDefault="001E40D5" w:rsidP="00B34BD9">
      <w:pPr>
        <w:pStyle w:val="Proposal"/>
      </w:pPr>
      <w:bookmarkStart w:id="3" w:name="_Toc32426146"/>
      <w:r>
        <w:lastRenderedPageBreak/>
        <w:t xml:space="preserve">For CR definition, reuse the definition of LTE V2X with </w:t>
      </w:r>
      <w:r w:rsidR="00207856">
        <w:t xml:space="preserve">“subframe” replaced by “slot” and </w:t>
      </w:r>
      <w:r>
        <w:t xml:space="preserve">the following </w:t>
      </w:r>
      <w:r w:rsidR="00367166">
        <w:t>constraints</w:t>
      </w:r>
      <w:r>
        <w:t xml:space="preserve"> </w:t>
      </w:r>
      <w:r w:rsidR="00367166">
        <w:t>apply</w:t>
      </w:r>
      <w:r>
        <w:t xml:space="preserve">: </w:t>
      </w:r>
      <w:r w:rsidR="00D60A5D" w:rsidRPr="00365D18">
        <w:rPr>
          <w:rFonts w:ascii="Times" w:eastAsia="Malgun Gothic" w:hAnsi="Times"/>
          <w:i/>
          <w:iCs/>
        </w:rPr>
        <w:t>a+b+1 = 1000</w:t>
      </w:r>
      <w:r w:rsidR="00D60A5D" w:rsidRPr="00365D18">
        <w:rPr>
          <w:rFonts w:ascii="Times" w:eastAsia="Malgun Gothic" w:hAnsi="Times"/>
        </w:rPr>
        <w:t>, a &gt;=</w:t>
      </w:r>
      <w:r w:rsidR="00AA6AAD">
        <w:rPr>
          <w:rFonts w:ascii="Times" w:eastAsia="Malgun Gothic" w:hAnsi="Times"/>
        </w:rPr>
        <w:t>950.</w:t>
      </w:r>
      <w:r w:rsidR="00D60A5D" w:rsidRPr="00365D18">
        <w:rPr>
          <w:rFonts w:ascii="Times" w:eastAsia="Malgun Gothic" w:hAnsi="Times"/>
        </w:rPr>
        <w:t xml:space="preserve"> </w:t>
      </w:r>
      <w:r w:rsidR="00B34BD9">
        <w:t xml:space="preserve"> </w:t>
      </w:r>
      <w:bookmarkEnd w:id="3"/>
    </w:p>
    <w:p w14:paraId="7FAEB6A2" w14:textId="77777777" w:rsidR="001E15BB" w:rsidRDefault="001E15BB" w:rsidP="00CE0424">
      <w:pPr>
        <w:pStyle w:val="BodyText"/>
      </w:pPr>
    </w:p>
    <w:p w14:paraId="3910ADF0" w14:textId="44C61F61" w:rsidR="00F13ACB" w:rsidRDefault="006340E4" w:rsidP="00CE0424">
      <w:pPr>
        <w:pStyle w:val="BodyText"/>
      </w:pPr>
      <w:r>
        <w:t>Another remaining issue</w:t>
      </w:r>
      <w:r w:rsidR="00EA662B">
        <w:t>,</w:t>
      </w:r>
      <w:r>
        <w:t xml:space="preserve"> </w:t>
      </w:r>
      <w:r w:rsidR="00EA662B">
        <w:t xml:space="preserve">which was raised during the email discussion, </w:t>
      </w:r>
      <w:r>
        <w:t>is how</w:t>
      </w:r>
      <w:r w:rsidR="009B61F9">
        <w:t xml:space="preserve"> often</w:t>
      </w:r>
      <w:r>
        <w:t xml:space="preserve"> the CR is evaluated, namely only for the initial transmission or for every (re)transmission of a packet. </w:t>
      </w:r>
      <w:r w:rsidR="007548D8">
        <w:t>As a starting point, in LTE V2X the following rule applies: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48D8" w14:paraId="2E6099A7" w14:textId="77777777" w:rsidTr="007548D8">
        <w:tc>
          <w:tcPr>
            <w:tcW w:w="9629" w:type="dxa"/>
          </w:tcPr>
          <w:p w14:paraId="4AF372CF" w14:textId="77777777" w:rsidR="007548D8" w:rsidRPr="004E6BDC" w:rsidRDefault="007548D8" w:rsidP="007548D8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</w:rPr>
            </w:pPr>
            <w:r w:rsidRPr="004E6BDC">
              <w:rPr>
                <w:rFonts w:ascii="Times" w:eastAsia="Malgun Gothic" w:hAnsi="Times"/>
                <w:lang w:val="en-GB"/>
              </w:rPr>
              <w:t>CBR is measured and CR is evaluated for each (re)transmission</w:t>
            </w:r>
          </w:p>
          <w:p w14:paraId="7888528D" w14:textId="77777777" w:rsidR="007548D8" w:rsidRPr="004E6BDC" w:rsidRDefault="007548D8" w:rsidP="007548D8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</w:rPr>
            </w:pPr>
            <w:r w:rsidRPr="004E6BDC">
              <w:rPr>
                <w:rFonts w:ascii="Times" w:eastAsia="Malgun Gothic" w:hAnsi="Times"/>
                <w:lang w:val="en-GB"/>
              </w:rPr>
              <w:t xml:space="preserve">For a (re)transmission in subframe </w:t>
            </w:r>
            <w:r w:rsidRPr="004E6BDC">
              <w:rPr>
                <w:rFonts w:ascii="Times" w:eastAsia="Malgun Gothic" w:hAnsi="Times"/>
                <w:i/>
                <w:lang w:val="en-GB"/>
              </w:rPr>
              <w:t>n</w:t>
            </w:r>
            <w:r w:rsidRPr="004E6BDC">
              <w:rPr>
                <w:rFonts w:ascii="Times" w:eastAsia="Malgun Gothic" w:hAnsi="Times"/>
                <w:lang w:val="en-GB"/>
              </w:rPr>
              <w:t xml:space="preserve">+4, the CR is evaluated in subframe </w:t>
            </w:r>
            <w:r w:rsidRPr="004E6BDC">
              <w:rPr>
                <w:rFonts w:ascii="Times" w:eastAsia="Malgun Gothic" w:hAnsi="Times"/>
                <w:i/>
                <w:lang w:val="en-GB"/>
              </w:rPr>
              <w:t>n.</w:t>
            </w:r>
          </w:p>
          <w:p w14:paraId="5882D635" w14:textId="2B4C379E" w:rsidR="007548D8" w:rsidRDefault="007548D8" w:rsidP="007548D8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4E6BDC">
              <w:rPr>
                <w:rFonts w:ascii="Times" w:eastAsia="Malgun Gothic" w:hAnsi="Times"/>
                <w:lang w:val="en-GB"/>
              </w:rPr>
              <w:t xml:space="preserve">For a (re)transmission in subframe </w:t>
            </w:r>
            <w:r w:rsidRPr="004E6BDC">
              <w:rPr>
                <w:rFonts w:ascii="Times" w:eastAsia="Malgun Gothic" w:hAnsi="Times"/>
                <w:i/>
                <w:lang w:val="en-GB"/>
              </w:rPr>
              <w:t>n</w:t>
            </w:r>
            <w:r w:rsidRPr="004E6BDC">
              <w:rPr>
                <w:rFonts w:ascii="Times" w:eastAsia="Malgun Gothic" w:hAnsi="Times"/>
                <w:lang w:val="en-GB"/>
              </w:rPr>
              <w:t xml:space="preserve">+4, the CBR measured in subfrme </w:t>
            </w:r>
            <w:r w:rsidRPr="004E6BDC">
              <w:rPr>
                <w:rFonts w:ascii="Times" w:eastAsia="Malgun Gothic" w:hAnsi="Times"/>
                <w:i/>
                <w:lang w:val="en-GB"/>
              </w:rPr>
              <w:t>n</w:t>
            </w:r>
            <w:r w:rsidRPr="004E6BDC">
              <w:rPr>
                <w:rFonts w:ascii="Times" w:eastAsia="Malgun Gothic" w:hAnsi="Times"/>
                <w:lang w:val="en-GB"/>
              </w:rPr>
              <w:t xml:space="preserve"> is used. </w:t>
            </w:r>
          </w:p>
        </w:tc>
      </w:tr>
    </w:tbl>
    <w:p w14:paraId="78B63245" w14:textId="25FE6CA9" w:rsidR="007548D8" w:rsidRDefault="007548D8" w:rsidP="00CE0424">
      <w:pPr>
        <w:pStyle w:val="BodyText"/>
      </w:pPr>
    </w:p>
    <w:p w14:paraId="69C6558D" w14:textId="57E7F809" w:rsidR="00F13ACB" w:rsidRDefault="004F5789" w:rsidP="00CE0424">
      <w:pPr>
        <w:pStyle w:val="BodyText"/>
      </w:pPr>
      <w:r>
        <w:t>In our view</w:t>
      </w:r>
      <w:r w:rsidR="00EC625A">
        <w:t>,</w:t>
      </w:r>
      <w:r>
        <w:t xml:space="preserve"> </w:t>
      </w:r>
      <w:r w:rsidR="001F70D2">
        <w:t>the same procedure</w:t>
      </w:r>
      <w:r w:rsidR="00EC625A">
        <w:t xml:space="preserve"> of LTE V2X can be reused in NR V2X.</w:t>
      </w:r>
    </w:p>
    <w:p w14:paraId="35FD77C1" w14:textId="5FF8942C" w:rsidR="00EC625A" w:rsidRDefault="005D7EF5" w:rsidP="00EC625A">
      <w:pPr>
        <w:pStyle w:val="Proposal"/>
      </w:pPr>
      <w:bookmarkStart w:id="4" w:name="_Toc32426147"/>
      <w:r>
        <w:t>C</w:t>
      </w:r>
      <w:r w:rsidR="00A77465">
        <w:t xml:space="preserve">R is evaluated for each </w:t>
      </w:r>
      <w:r w:rsidR="00AE60BF">
        <w:t>(</w:t>
      </w:r>
      <w:r w:rsidR="00A77465">
        <w:t>re</w:t>
      </w:r>
      <w:r w:rsidR="00AE60BF">
        <w:t>)</w:t>
      </w:r>
      <w:r w:rsidR="00A77465">
        <w:t>transmission</w:t>
      </w:r>
      <w:r w:rsidR="00F3501E">
        <w:t>.</w:t>
      </w:r>
      <w:bookmarkEnd w:id="4"/>
      <w:r w:rsidR="00F3501E">
        <w:t xml:space="preserve"> </w:t>
      </w:r>
    </w:p>
    <w:p w14:paraId="348591D1" w14:textId="77777777" w:rsidR="009D026D" w:rsidRDefault="009D026D" w:rsidP="001879E1">
      <w:pPr>
        <w:pStyle w:val="Proposal"/>
        <w:numPr>
          <w:ilvl w:val="0"/>
          <w:numId w:val="0"/>
        </w:numPr>
      </w:pPr>
    </w:p>
    <w:p w14:paraId="234B9CF4" w14:textId="5B604F76" w:rsidR="00C01F33" w:rsidRPr="00CE0424" w:rsidRDefault="002038E4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99FFC98" w14:textId="77777777" w:rsidR="00F977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426146" w:history="1">
        <w:r w:rsidR="00F97750" w:rsidRPr="00654CA1">
          <w:rPr>
            <w:rStyle w:val="Hyperlink"/>
            <w:noProof/>
          </w:rPr>
          <w:t>Proposal 1</w:t>
        </w:r>
        <w:r w:rsidR="00F977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97750" w:rsidRPr="00654CA1">
          <w:rPr>
            <w:rStyle w:val="Hyperlink"/>
            <w:noProof/>
          </w:rPr>
          <w:t xml:space="preserve">For CR definition, reuse the definition of LTE V2X with “subframe” replaced by “slot” and the following constraints apply: </w:t>
        </w:r>
        <w:r w:rsidR="00F97750" w:rsidRPr="00654CA1">
          <w:rPr>
            <w:rStyle w:val="Hyperlink"/>
            <w:rFonts w:ascii="Times" w:eastAsia="Malgun Gothic" w:hAnsi="Times"/>
            <w:i/>
            <w:iCs/>
            <w:noProof/>
          </w:rPr>
          <w:t>a+b+1 = 1000</w:t>
        </w:r>
        <w:r w:rsidR="00F97750" w:rsidRPr="00654CA1">
          <w:rPr>
            <w:rStyle w:val="Hyperlink"/>
            <w:rFonts w:ascii="Times" w:eastAsia="Malgun Gothic" w:hAnsi="Times"/>
            <w:noProof/>
          </w:rPr>
          <w:t xml:space="preserve">, a &gt;=950. </w:t>
        </w:r>
        <w:r w:rsidR="00F97750" w:rsidRPr="00654CA1">
          <w:rPr>
            <w:rStyle w:val="Hyperlink"/>
            <w:noProof/>
          </w:rPr>
          <w:t xml:space="preserve"> </w:t>
        </w:r>
      </w:hyperlink>
    </w:p>
    <w:p w14:paraId="79AA275C" w14:textId="77777777" w:rsidR="00F97750" w:rsidRDefault="00665C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426147" w:history="1">
        <w:r w:rsidR="00F97750" w:rsidRPr="00654CA1">
          <w:rPr>
            <w:rStyle w:val="Hyperlink"/>
            <w:noProof/>
          </w:rPr>
          <w:t>Proposal 2</w:t>
        </w:r>
        <w:r w:rsidR="00F977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97750" w:rsidRPr="00654CA1">
          <w:rPr>
            <w:rStyle w:val="Hyperlink"/>
            <w:noProof/>
          </w:rPr>
          <w:t>CR is evaluated for each (re)transmission.</w:t>
        </w:r>
      </w:hyperlink>
    </w:p>
    <w:p w14:paraId="626A1365" w14:textId="1ED9EE8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C68827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26B5B" w14:textId="77777777" w:rsidR="00665CDA" w:rsidRDefault="00665CDA">
      <w:r>
        <w:separator/>
      </w:r>
    </w:p>
  </w:endnote>
  <w:endnote w:type="continuationSeparator" w:id="0">
    <w:p w14:paraId="318EA3EC" w14:textId="77777777" w:rsidR="00665CDA" w:rsidRDefault="00665CDA">
      <w:r>
        <w:continuationSeparator/>
      </w:r>
    </w:p>
  </w:endnote>
  <w:endnote w:type="continuationNotice" w:id="1">
    <w:p w14:paraId="78DAE6EC" w14:textId="77777777" w:rsidR="00665CDA" w:rsidRDefault="00665C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4EB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4F5E6" w14:textId="77777777" w:rsidR="00665CDA" w:rsidRDefault="00665CDA">
      <w:r>
        <w:separator/>
      </w:r>
    </w:p>
  </w:footnote>
  <w:footnote w:type="continuationSeparator" w:id="0">
    <w:p w14:paraId="6A39DB63" w14:textId="77777777" w:rsidR="00665CDA" w:rsidRDefault="00665CDA">
      <w:r>
        <w:continuationSeparator/>
      </w:r>
    </w:p>
  </w:footnote>
  <w:footnote w:type="continuationNotice" w:id="1">
    <w:p w14:paraId="1649F43D" w14:textId="77777777" w:rsidR="00665CDA" w:rsidRDefault="00665C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6486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DA35518"/>
    <w:multiLevelType w:val="multilevel"/>
    <w:tmpl w:val="A718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20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3BF4"/>
    <w:rsid w:val="0002564D"/>
    <w:rsid w:val="00025ECA"/>
    <w:rsid w:val="000325B8"/>
    <w:rsid w:val="00034C15"/>
    <w:rsid w:val="0003667C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95C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204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8C5"/>
    <w:rsid w:val="00173A8E"/>
    <w:rsid w:val="0017502C"/>
    <w:rsid w:val="0018143F"/>
    <w:rsid w:val="00181FF8"/>
    <w:rsid w:val="00186794"/>
    <w:rsid w:val="001879E1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2D8"/>
    <w:rsid w:val="001D51BA"/>
    <w:rsid w:val="001D53E7"/>
    <w:rsid w:val="001D6342"/>
    <w:rsid w:val="001D6D53"/>
    <w:rsid w:val="001E15BB"/>
    <w:rsid w:val="001E40D5"/>
    <w:rsid w:val="001E58E2"/>
    <w:rsid w:val="001E7AED"/>
    <w:rsid w:val="001F3916"/>
    <w:rsid w:val="001F45AE"/>
    <w:rsid w:val="001F54C5"/>
    <w:rsid w:val="001F662C"/>
    <w:rsid w:val="001F7074"/>
    <w:rsid w:val="001F70D2"/>
    <w:rsid w:val="00200490"/>
    <w:rsid w:val="00201F3A"/>
    <w:rsid w:val="002038E4"/>
    <w:rsid w:val="00203F96"/>
    <w:rsid w:val="002069B2"/>
    <w:rsid w:val="00207856"/>
    <w:rsid w:val="00207FA3"/>
    <w:rsid w:val="00214DA8"/>
    <w:rsid w:val="00215423"/>
    <w:rsid w:val="002158FA"/>
    <w:rsid w:val="002171C9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0AF8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D18"/>
    <w:rsid w:val="0036716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6D9D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8FE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789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FDA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7EF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25E"/>
    <w:rsid w:val="0063284C"/>
    <w:rsid w:val="006340E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BA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97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8D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CC2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9E1"/>
    <w:rsid w:val="007E438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361"/>
    <w:rsid w:val="00856911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0E7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981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398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1F9"/>
    <w:rsid w:val="009B7E87"/>
    <w:rsid w:val="009C0169"/>
    <w:rsid w:val="009C403E"/>
    <w:rsid w:val="009D026D"/>
    <w:rsid w:val="009D4FF0"/>
    <w:rsid w:val="009D703C"/>
    <w:rsid w:val="009D718F"/>
    <w:rsid w:val="009E068F"/>
    <w:rsid w:val="009E14E0"/>
    <w:rsid w:val="009E2988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6E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465"/>
    <w:rsid w:val="00A77EC4"/>
    <w:rsid w:val="00A92879"/>
    <w:rsid w:val="00A9442A"/>
    <w:rsid w:val="00AA016F"/>
    <w:rsid w:val="00AA0854"/>
    <w:rsid w:val="00AA1ED6"/>
    <w:rsid w:val="00AA51D6"/>
    <w:rsid w:val="00AA6AAD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60BF"/>
    <w:rsid w:val="00AF1C5D"/>
    <w:rsid w:val="00AF42D7"/>
    <w:rsid w:val="00B006FE"/>
    <w:rsid w:val="00B007CB"/>
    <w:rsid w:val="00B02AA9"/>
    <w:rsid w:val="00B02FA3"/>
    <w:rsid w:val="00B05084"/>
    <w:rsid w:val="00B125FA"/>
    <w:rsid w:val="00B157F9"/>
    <w:rsid w:val="00B20256"/>
    <w:rsid w:val="00B20D09"/>
    <w:rsid w:val="00B2763F"/>
    <w:rsid w:val="00B27AAC"/>
    <w:rsid w:val="00B30929"/>
    <w:rsid w:val="00B34BD9"/>
    <w:rsid w:val="00B372AA"/>
    <w:rsid w:val="00B40445"/>
    <w:rsid w:val="00B409E0"/>
    <w:rsid w:val="00B41888"/>
    <w:rsid w:val="00B45A52"/>
    <w:rsid w:val="00B46175"/>
    <w:rsid w:val="00B548B7"/>
    <w:rsid w:val="00B6378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3F1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5667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A8C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272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A5D"/>
    <w:rsid w:val="00D61010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067"/>
    <w:rsid w:val="00DE2D2E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96D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62B"/>
    <w:rsid w:val="00EA7A41"/>
    <w:rsid w:val="00EB077B"/>
    <w:rsid w:val="00EB4EA2"/>
    <w:rsid w:val="00EC09F4"/>
    <w:rsid w:val="00EC24D5"/>
    <w:rsid w:val="00EC27C6"/>
    <w:rsid w:val="00EC2A54"/>
    <w:rsid w:val="00EC4207"/>
    <w:rsid w:val="00EC5653"/>
    <w:rsid w:val="00EC625A"/>
    <w:rsid w:val="00EC71CE"/>
    <w:rsid w:val="00EC7A83"/>
    <w:rsid w:val="00ED1006"/>
    <w:rsid w:val="00ED526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ACB"/>
    <w:rsid w:val="00F15FA5"/>
    <w:rsid w:val="00F209B7"/>
    <w:rsid w:val="00F2376F"/>
    <w:rsid w:val="00F243D8"/>
    <w:rsid w:val="00F30828"/>
    <w:rsid w:val="00F313D6"/>
    <w:rsid w:val="00F3501E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79B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750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5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12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12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25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12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12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125F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5F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5F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125F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2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125F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125F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125FA"/>
    <w:pPr>
      <w:ind w:left="1701" w:hanging="1701"/>
    </w:pPr>
  </w:style>
  <w:style w:type="paragraph" w:styleId="TOC4">
    <w:name w:val="toc 4"/>
    <w:basedOn w:val="TOC3"/>
    <w:uiPriority w:val="39"/>
    <w:rsid w:val="00B125FA"/>
    <w:pPr>
      <w:ind w:left="1418" w:hanging="1418"/>
    </w:pPr>
  </w:style>
  <w:style w:type="paragraph" w:styleId="TOC3">
    <w:name w:val="toc 3"/>
    <w:basedOn w:val="TOC2"/>
    <w:uiPriority w:val="39"/>
    <w:rsid w:val="00B125FA"/>
    <w:pPr>
      <w:ind w:left="1134" w:hanging="1134"/>
    </w:pPr>
  </w:style>
  <w:style w:type="paragraph" w:styleId="TOC2">
    <w:name w:val="toc 2"/>
    <w:basedOn w:val="TOC1"/>
    <w:uiPriority w:val="39"/>
    <w:rsid w:val="00B12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125FA"/>
    <w:pPr>
      <w:ind w:left="284"/>
    </w:pPr>
  </w:style>
  <w:style w:type="paragraph" w:styleId="Index1">
    <w:name w:val="index 1"/>
    <w:basedOn w:val="Normal"/>
    <w:rsid w:val="00B125FA"/>
    <w:pPr>
      <w:keepLines/>
      <w:spacing w:after="0"/>
    </w:pPr>
  </w:style>
  <w:style w:type="paragraph" w:styleId="DocumentMap">
    <w:name w:val="Document Map"/>
    <w:basedOn w:val="Normal"/>
    <w:link w:val="DocumentMapChar"/>
    <w:rsid w:val="00B125F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25FA"/>
    <w:pPr>
      <w:numPr>
        <w:numId w:val="22"/>
      </w:numPr>
    </w:pPr>
  </w:style>
  <w:style w:type="paragraph" w:styleId="ListNumber">
    <w:name w:val="List Number"/>
    <w:basedOn w:val="List"/>
    <w:rsid w:val="00B125F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125FA"/>
    <w:pPr>
      <w:ind w:left="568" w:hanging="284"/>
    </w:pPr>
  </w:style>
  <w:style w:type="paragraph" w:styleId="Header">
    <w:name w:val="header"/>
    <w:link w:val="HeaderChar"/>
    <w:rsid w:val="00B12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125F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25F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125F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125FA"/>
    <w:pPr>
      <w:ind w:left="1418" w:hanging="1418"/>
    </w:pPr>
  </w:style>
  <w:style w:type="paragraph" w:styleId="TOC6">
    <w:name w:val="toc 6"/>
    <w:basedOn w:val="TOC5"/>
    <w:next w:val="Normal"/>
    <w:uiPriority w:val="39"/>
    <w:rsid w:val="00B125FA"/>
    <w:pPr>
      <w:ind w:left="1985" w:hanging="1985"/>
    </w:pPr>
  </w:style>
  <w:style w:type="paragraph" w:styleId="TOC7">
    <w:name w:val="toc 7"/>
    <w:basedOn w:val="TOC6"/>
    <w:next w:val="Normal"/>
    <w:uiPriority w:val="39"/>
    <w:rsid w:val="00B125FA"/>
    <w:pPr>
      <w:ind w:left="2268" w:hanging="2268"/>
    </w:pPr>
  </w:style>
  <w:style w:type="paragraph" w:styleId="ListBullet2">
    <w:name w:val="List Bullet 2"/>
    <w:basedOn w:val="ListBullet"/>
    <w:rsid w:val="00B125FA"/>
    <w:pPr>
      <w:numPr>
        <w:numId w:val="17"/>
      </w:numPr>
    </w:pPr>
  </w:style>
  <w:style w:type="paragraph" w:styleId="ListBullet">
    <w:name w:val="List Bullet"/>
    <w:basedOn w:val="List"/>
    <w:rsid w:val="00B125F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125FA"/>
    <w:pPr>
      <w:numPr>
        <w:numId w:val="18"/>
      </w:numPr>
    </w:pPr>
  </w:style>
  <w:style w:type="paragraph" w:customStyle="1" w:styleId="EQ">
    <w:name w:val="EQ"/>
    <w:basedOn w:val="Normal"/>
    <w:next w:val="Normal"/>
    <w:rsid w:val="00B125F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25FA"/>
    <w:pPr>
      <w:ind w:left="851"/>
    </w:pPr>
    <w:rPr>
      <w:lang w:eastAsia="ja-JP"/>
    </w:rPr>
  </w:style>
  <w:style w:type="paragraph" w:styleId="List3">
    <w:name w:val="List 3"/>
    <w:basedOn w:val="List2"/>
    <w:rsid w:val="00B125FA"/>
    <w:pPr>
      <w:ind w:left="1135"/>
    </w:pPr>
  </w:style>
  <w:style w:type="paragraph" w:styleId="List4">
    <w:name w:val="List 4"/>
    <w:basedOn w:val="List3"/>
    <w:rsid w:val="00B125FA"/>
    <w:pPr>
      <w:ind w:left="1418"/>
    </w:pPr>
  </w:style>
  <w:style w:type="paragraph" w:styleId="List5">
    <w:name w:val="List 5"/>
    <w:basedOn w:val="List4"/>
    <w:rsid w:val="00B125FA"/>
    <w:pPr>
      <w:ind w:left="1702"/>
    </w:pPr>
  </w:style>
  <w:style w:type="paragraph" w:customStyle="1" w:styleId="EditorsNote">
    <w:name w:val="Editor's Note"/>
    <w:basedOn w:val="NO"/>
    <w:link w:val="EditorsNoteChar"/>
    <w:rsid w:val="00B125FA"/>
    <w:rPr>
      <w:color w:val="FF0000"/>
      <w:lang w:val="x-none" w:eastAsia="x-none"/>
    </w:rPr>
  </w:style>
  <w:style w:type="paragraph" w:styleId="ListBullet4">
    <w:name w:val="List Bullet 4"/>
    <w:basedOn w:val="ListBullet3"/>
    <w:rsid w:val="00B125FA"/>
    <w:pPr>
      <w:numPr>
        <w:numId w:val="19"/>
      </w:numPr>
    </w:pPr>
  </w:style>
  <w:style w:type="paragraph" w:styleId="ListBullet5">
    <w:name w:val="List Bullet 5"/>
    <w:basedOn w:val="ListBullet4"/>
    <w:rsid w:val="00B125FA"/>
    <w:pPr>
      <w:numPr>
        <w:numId w:val="20"/>
      </w:numPr>
    </w:pPr>
  </w:style>
  <w:style w:type="paragraph" w:styleId="Footer">
    <w:name w:val="footer"/>
    <w:basedOn w:val="Header"/>
    <w:link w:val="FooterChar"/>
    <w:rsid w:val="00B125FA"/>
    <w:pPr>
      <w:jc w:val="center"/>
    </w:pPr>
    <w:rPr>
      <w:i/>
    </w:rPr>
  </w:style>
  <w:style w:type="paragraph" w:customStyle="1" w:styleId="Reference">
    <w:name w:val="Reference"/>
    <w:basedOn w:val="BodyText"/>
    <w:rsid w:val="00B125F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125F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125FA"/>
  </w:style>
  <w:style w:type="paragraph" w:styleId="BodyText">
    <w:name w:val="Body Text"/>
    <w:basedOn w:val="Normal"/>
    <w:link w:val="BodyTextChar"/>
    <w:rsid w:val="00B125F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125FA"/>
    <w:rPr>
      <w:color w:val="0000FF"/>
      <w:u w:val="single"/>
    </w:rPr>
  </w:style>
  <w:style w:type="character" w:styleId="FollowedHyperlink">
    <w:name w:val="FollowedHyperlink"/>
    <w:unhideWhenUsed/>
    <w:rsid w:val="00B125FA"/>
    <w:rPr>
      <w:color w:val="800080"/>
      <w:u w:val="single"/>
    </w:rPr>
  </w:style>
  <w:style w:type="character" w:styleId="CommentReference">
    <w:name w:val="annotation reference"/>
    <w:uiPriority w:val="99"/>
    <w:qFormat/>
    <w:rsid w:val="00B125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125FA"/>
  </w:style>
  <w:style w:type="paragraph" w:styleId="CommentSubject">
    <w:name w:val="annotation subject"/>
    <w:basedOn w:val="CommentText"/>
    <w:next w:val="CommentText"/>
    <w:link w:val="CommentSubjectChar"/>
    <w:rsid w:val="00B125FA"/>
    <w:rPr>
      <w:b/>
      <w:bCs/>
    </w:rPr>
  </w:style>
  <w:style w:type="character" w:customStyle="1" w:styleId="Heading1Char">
    <w:name w:val="Heading 1 Char"/>
    <w:link w:val="Heading1"/>
    <w:rsid w:val="00B125F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125F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125F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125F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125FA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125F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125F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125FA"/>
    <w:rPr>
      <w:rFonts w:ascii="Times New Roman" w:hAnsi="Times New Roman"/>
    </w:rPr>
  </w:style>
  <w:style w:type="paragraph" w:customStyle="1" w:styleId="EX">
    <w:name w:val="EX"/>
    <w:basedOn w:val="Normal"/>
    <w:rsid w:val="00B125FA"/>
    <w:pPr>
      <w:keepLines/>
      <w:ind w:left="1702" w:hanging="1418"/>
    </w:pPr>
  </w:style>
  <w:style w:type="paragraph" w:customStyle="1" w:styleId="EW">
    <w:name w:val="EW"/>
    <w:basedOn w:val="EX"/>
    <w:rsid w:val="00B125FA"/>
    <w:pPr>
      <w:spacing w:after="0"/>
    </w:pPr>
  </w:style>
  <w:style w:type="paragraph" w:customStyle="1" w:styleId="TAL">
    <w:name w:val="TAL"/>
    <w:basedOn w:val="Normal"/>
    <w:link w:val="TALCar"/>
    <w:rsid w:val="00B12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125FA"/>
    <w:pPr>
      <w:jc w:val="center"/>
    </w:pPr>
  </w:style>
  <w:style w:type="paragraph" w:customStyle="1" w:styleId="TAH">
    <w:name w:val="TAH"/>
    <w:basedOn w:val="TAC"/>
    <w:link w:val="TAHCar"/>
    <w:rsid w:val="00B125FA"/>
    <w:rPr>
      <w:b/>
    </w:rPr>
  </w:style>
  <w:style w:type="paragraph" w:customStyle="1" w:styleId="TAN">
    <w:name w:val="TAN"/>
    <w:basedOn w:val="TAL"/>
    <w:rsid w:val="00B125FA"/>
    <w:pPr>
      <w:ind w:left="851" w:hanging="851"/>
    </w:pPr>
  </w:style>
  <w:style w:type="paragraph" w:customStyle="1" w:styleId="TAR">
    <w:name w:val="TAR"/>
    <w:basedOn w:val="TAL"/>
    <w:rsid w:val="00B125FA"/>
    <w:pPr>
      <w:jc w:val="right"/>
    </w:pPr>
  </w:style>
  <w:style w:type="paragraph" w:customStyle="1" w:styleId="TH">
    <w:name w:val="TH"/>
    <w:basedOn w:val="Normal"/>
    <w:link w:val="THChar"/>
    <w:rsid w:val="00B12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125F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25FA"/>
    <w:pPr>
      <w:outlineLvl w:val="9"/>
    </w:pPr>
  </w:style>
  <w:style w:type="paragraph" w:customStyle="1" w:styleId="ZA">
    <w:name w:val="ZA"/>
    <w:rsid w:val="00B12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12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12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12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125FA"/>
  </w:style>
  <w:style w:type="paragraph" w:customStyle="1" w:styleId="ZH">
    <w:name w:val="ZH"/>
    <w:rsid w:val="00B12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12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125F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2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125FA"/>
    <w:pPr>
      <w:framePr w:wrap="notBeside" w:y="16161"/>
    </w:pPr>
  </w:style>
  <w:style w:type="paragraph" w:customStyle="1" w:styleId="FP">
    <w:name w:val="FP"/>
    <w:basedOn w:val="Normal"/>
    <w:rsid w:val="00B125FA"/>
    <w:pPr>
      <w:spacing w:after="0"/>
    </w:pPr>
  </w:style>
  <w:style w:type="paragraph" w:customStyle="1" w:styleId="Observation">
    <w:name w:val="Observation"/>
    <w:basedOn w:val="Proposal"/>
    <w:qFormat/>
    <w:rsid w:val="00B125F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125F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125F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125F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125F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125F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125F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125FA"/>
    <w:pPr>
      <w:ind w:left="1985"/>
    </w:pPr>
  </w:style>
  <w:style w:type="character" w:customStyle="1" w:styleId="B6Char">
    <w:name w:val="B6 Char"/>
    <w:link w:val="B6"/>
    <w:rsid w:val="00B125F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125FA"/>
    <w:pPr>
      <w:ind w:left="2269"/>
    </w:pPr>
  </w:style>
  <w:style w:type="character" w:customStyle="1" w:styleId="B7Char">
    <w:name w:val="B7 Char"/>
    <w:basedOn w:val="B6Char"/>
    <w:link w:val="B7"/>
    <w:rsid w:val="00B125F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125FA"/>
    <w:pPr>
      <w:ind w:left="2552"/>
    </w:pPr>
  </w:style>
  <w:style w:type="character" w:customStyle="1" w:styleId="BalloonTextChar">
    <w:name w:val="Balloon Text Char"/>
    <w:link w:val="BalloonText"/>
    <w:rsid w:val="00B125F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125F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125F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125F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125F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125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125F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125F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125FA"/>
    <w:pPr>
      <w:keepLines/>
      <w:ind w:left="1135" w:hanging="851"/>
    </w:pPr>
  </w:style>
  <w:style w:type="character" w:customStyle="1" w:styleId="NOChar">
    <w:name w:val="NO Char"/>
    <w:link w:val="NO"/>
    <w:qFormat/>
    <w:rsid w:val="00B125F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125F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125F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125FA"/>
    <w:rPr>
      <w:i/>
      <w:iCs/>
    </w:rPr>
  </w:style>
  <w:style w:type="paragraph" w:customStyle="1" w:styleId="FigureTitle">
    <w:name w:val="Figure_Title"/>
    <w:basedOn w:val="Normal"/>
    <w:next w:val="Normal"/>
    <w:rsid w:val="00B125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125F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125F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125F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125FA"/>
    <w:rPr>
      <w:i/>
      <w:color w:val="0000FF"/>
    </w:rPr>
  </w:style>
  <w:style w:type="character" w:customStyle="1" w:styleId="Heading2Char">
    <w:name w:val="Heading 2 Char"/>
    <w:link w:val="Heading2"/>
    <w:rsid w:val="00B125F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125F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125F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125F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125F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25F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125F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125F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125F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125F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125F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12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125F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B125F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125F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125FA"/>
    <w:pPr>
      <w:spacing w:after="0"/>
    </w:pPr>
  </w:style>
  <w:style w:type="paragraph" w:customStyle="1" w:styleId="PL">
    <w:name w:val="PL"/>
    <w:link w:val="PLChar"/>
    <w:qFormat/>
    <w:rsid w:val="00B125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125F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125F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125F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125FA"/>
    <w:rPr>
      <w:b/>
      <w:bCs/>
    </w:rPr>
  </w:style>
  <w:style w:type="table" w:styleId="TableGrid">
    <w:name w:val="Table Grid"/>
    <w:basedOn w:val="TableNormal"/>
    <w:uiPriority w:val="39"/>
    <w:rsid w:val="00B125F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125F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125F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125F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125FA"/>
  </w:style>
  <w:style w:type="paragraph" w:customStyle="1" w:styleId="TALCharChar">
    <w:name w:val="TAL Char Char"/>
    <w:basedOn w:val="Normal"/>
    <w:link w:val="TALCharCharChar"/>
    <w:rsid w:val="00B125F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125F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125F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125F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125F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125FA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hieudo\Desktop\RAN1-10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16" ma:contentTypeDescription="Create a new document." ma:contentTypeScope="" ma:versionID="e87d85d63b97ab10f3823e0cea3eb735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72e91546b08ca24950d1609ee8cdba36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NH" minOccurs="0"/>
                <xsd:element ref="ns3:MediaServiceOCR" minOccurs="0"/>
                <xsd:element ref="ns3:_Flow_SignoffStatus" minOccurs="0"/>
                <xsd:element ref="ns3:_x65f6__x95f4_" minOccurs="0"/>
                <xsd:element ref="ns3:MediaServiceGenerationTime" minOccurs="0"/>
                <xsd:element ref="ns3:MediaServiceEventHashCode" minOccurs="0"/>
                <xsd:element ref="ns3:Descrip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NH" ma:index="15" nillable="true" ma:displayName="NH" ma:description="Updated with Robert B's modification." ma:internalName="NH">
      <xsd:simpleType>
        <xsd:restriction base="dms:Text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_x0024_Resources_x003a_core_x002c_Signoff_Status_x003b_">
      <xsd:simpleType>
        <xsd:restriction base="dms:Text"/>
      </xsd:simpleType>
    </xsd:element>
    <xsd:element name="_x65f6__x95f4_" ma:index="18" nillable="true" ma:displayName="时间" ma:format="DateTime" ma:internalName="_x65f6__x95f4_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Description" ma:index="21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c7603ed-7603-4824-9004-1c5aaeadf2ab" xsi:nil="true"/>
    <NH xmlns="cc7603ed-7603-4824-9004-1c5aaeadf2ab" xsi:nil="true"/>
    <_x65f6__x95f4_ xmlns="cc7603ed-7603-4824-9004-1c5aaeadf2ab" xsi:nil="true"/>
    <Description xmlns="cc7603ed-7603-4824-9004-1c5aaeadf2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674F-90DB-4932-813F-18C530647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cc7603ed-7603-4824-9004-1c5aaeadf2ab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8DF517-9BCB-8C44-9819-0844E6A0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C:\Users\ehieudo\Desktop\RAN1-100\R1-xxxxxx Contribution Template.dotx</Template>
  <TotalTime>226</TotalTime>
  <Pages>2</Pages>
  <Words>519</Words>
  <Characters>2395</Characters>
  <Application>Microsoft Office Word</Application>
  <DocSecurity>0</DocSecurity>
  <Lines>79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2854</CharactersWithSpaces>
  <SharedDoc>false</SharedDoc>
  <HLinks>
    <vt:vector size="12" baseType="variant"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_Toc32403290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_Toc32403289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48</cp:revision>
  <cp:lastPrinted>2008-01-30T22:09:00Z</cp:lastPrinted>
  <dcterms:created xsi:type="dcterms:W3CDTF">2020-01-10T06:47:00Z</dcterms:created>
  <dcterms:modified xsi:type="dcterms:W3CDTF">2020-02-14T14:51:00Z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0x0101001ACB0BFAF4B3DB478B6E162A113003C9</vt:lpwstr>
  </property>
</Properties>
</file>